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1A" w:rsidRDefault="0085541A" w:rsidP="008518CC">
      <w:pPr>
        <w:pStyle w:val="Caption"/>
        <w:rPr>
          <w:rFonts w:ascii="Arial Narrow" w:hAnsi="Arial Narrow"/>
          <w:sz w:val="24"/>
          <w:szCs w:val="24"/>
        </w:rPr>
      </w:pPr>
      <w:bookmarkStart w:id="0" w:name="_Toc468978617"/>
      <w:r w:rsidRPr="00F742DA">
        <w:rPr>
          <w:rFonts w:ascii="Arial Narrow" w:hAnsi="Arial Narrow"/>
          <w:sz w:val="24"/>
          <w:szCs w:val="24"/>
        </w:rPr>
        <w:t>Obrazac Izvješća o savjetovanju s javnošću</w:t>
      </w:r>
      <w:bookmarkEnd w:id="0"/>
    </w:p>
    <w:p w:rsidR="0085541A" w:rsidRPr="00F742DA" w:rsidRDefault="0085541A" w:rsidP="00F742DA">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5301"/>
      </w:tblGrid>
      <w:tr w:rsidR="0085541A" w:rsidRPr="00DD3303" w:rsidTr="00941D1C">
        <w:trPr>
          <w:trHeight w:val="719"/>
        </w:trPr>
        <w:tc>
          <w:tcPr>
            <w:tcW w:w="9243" w:type="dxa"/>
            <w:gridSpan w:val="2"/>
            <w:tcBorders>
              <w:bottom w:val="single" w:sz="4" w:space="0" w:color="365F91"/>
            </w:tcBorders>
            <w:shd w:val="clear" w:color="auto" w:fill="B8CCE4"/>
            <w:vAlign w:val="center"/>
          </w:tcPr>
          <w:p w:rsidR="0085541A" w:rsidRPr="00DD3303" w:rsidRDefault="0085541A" w:rsidP="00941D1C">
            <w:pPr>
              <w:spacing w:after="0" w:line="240" w:lineRule="auto"/>
              <w:jc w:val="center"/>
              <w:rPr>
                <w:rFonts w:ascii="Arial Narrow" w:eastAsia="Times New Roman" w:hAnsi="Arial Narrow"/>
                <w:b/>
                <w:bCs/>
                <w:sz w:val="20"/>
                <w:szCs w:val="20"/>
              </w:rPr>
            </w:pPr>
            <w:r w:rsidRPr="00DD3303">
              <w:rPr>
                <w:rFonts w:ascii="Arial Narrow" w:eastAsia="Times New Roman" w:hAnsi="Arial Narrow"/>
                <w:b/>
                <w:bCs/>
                <w:sz w:val="20"/>
                <w:szCs w:val="20"/>
              </w:rPr>
              <w:t xml:space="preserve">IZVJEŠĆE O </w:t>
            </w:r>
            <w:r>
              <w:rPr>
                <w:rFonts w:ascii="Arial Narrow" w:eastAsia="Times New Roman" w:hAnsi="Arial Narrow"/>
                <w:b/>
                <w:bCs/>
                <w:sz w:val="20"/>
                <w:szCs w:val="20"/>
              </w:rPr>
              <w:t xml:space="preserve">PROVEDENOM </w:t>
            </w:r>
            <w:r w:rsidRPr="00DD3303">
              <w:rPr>
                <w:rFonts w:ascii="Arial Narrow" w:eastAsia="Times New Roman" w:hAnsi="Arial Narrow"/>
                <w:b/>
                <w:bCs/>
                <w:sz w:val="20"/>
                <w:szCs w:val="20"/>
              </w:rPr>
              <w:t>SAVJETOVANJU S</w:t>
            </w:r>
            <w:r>
              <w:rPr>
                <w:rFonts w:ascii="Arial Narrow" w:eastAsia="Times New Roman" w:hAnsi="Arial Narrow"/>
                <w:b/>
                <w:bCs/>
                <w:sz w:val="20"/>
                <w:szCs w:val="20"/>
              </w:rPr>
              <w:t xml:space="preserve">A ZAINTERESIRANOM </w:t>
            </w:r>
            <w:r w:rsidRPr="00DD3303">
              <w:rPr>
                <w:rFonts w:ascii="Arial Narrow" w:eastAsia="Times New Roman" w:hAnsi="Arial Narrow"/>
                <w:b/>
                <w:bCs/>
                <w:sz w:val="20"/>
                <w:szCs w:val="20"/>
              </w:rPr>
              <w:t xml:space="preserve"> JAVNOŠĆU</w:t>
            </w:r>
          </w:p>
          <w:p w:rsidR="0085541A" w:rsidRPr="00DD3303" w:rsidRDefault="0085541A" w:rsidP="00941D1C">
            <w:pPr>
              <w:spacing w:after="0" w:line="240" w:lineRule="auto"/>
              <w:jc w:val="center"/>
              <w:rPr>
                <w:rFonts w:ascii="Arial Narrow" w:eastAsia="Times New Roman" w:hAnsi="Arial Narrow"/>
                <w:b/>
                <w:bCs/>
                <w:sz w:val="20"/>
                <w:szCs w:val="20"/>
              </w:rPr>
            </w:pPr>
            <w:r w:rsidRPr="00DD3303">
              <w:rPr>
                <w:rFonts w:ascii="Arial Narrow" w:eastAsia="Times New Roman" w:hAnsi="Arial Narrow"/>
                <w:b/>
                <w:bCs/>
                <w:sz w:val="20"/>
                <w:szCs w:val="20"/>
              </w:rPr>
              <w:t>U POSTUPKU DONOŠENJA</w:t>
            </w:r>
          </w:p>
          <w:p w:rsidR="0085541A" w:rsidRPr="00DD3303" w:rsidRDefault="0085541A" w:rsidP="00E806BE">
            <w:pPr>
              <w:spacing w:after="0" w:line="240" w:lineRule="auto"/>
              <w:jc w:val="center"/>
              <w:rPr>
                <w:rFonts w:ascii="Arial Narrow" w:eastAsia="Times New Roman" w:hAnsi="Arial Narrow"/>
                <w:b/>
                <w:bCs/>
                <w:sz w:val="20"/>
                <w:szCs w:val="20"/>
              </w:rPr>
            </w:pPr>
            <w:r w:rsidRPr="00DD3303">
              <w:rPr>
                <w:rFonts w:ascii="Arial Narrow" w:eastAsia="Times New Roman" w:hAnsi="Arial Narrow"/>
                <w:b/>
                <w:bCs/>
                <w:sz w:val="20"/>
                <w:szCs w:val="20"/>
              </w:rPr>
              <w:t xml:space="preserve">ODLUKE O NAČINU PRUŽANJA JAVNE USLUGE PRIKUPLJANJA MIJEŠANOG I BIORAZGRADIVOG KOMUNALNOG OTPADA </w:t>
            </w:r>
            <w:r>
              <w:rPr>
                <w:rFonts w:ascii="Arial Narrow" w:eastAsia="Times New Roman" w:hAnsi="Arial Narrow"/>
                <w:b/>
                <w:bCs/>
                <w:sz w:val="20"/>
                <w:szCs w:val="20"/>
              </w:rPr>
              <w:t>, TE USLUGA POVEZANIH S TOM JAVNOM USLUGOM</w:t>
            </w:r>
          </w:p>
        </w:tc>
      </w:tr>
      <w:tr w:rsidR="0085541A" w:rsidRPr="00DD3303" w:rsidTr="001907B5">
        <w:tc>
          <w:tcPr>
            <w:tcW w:w="3942"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Naziv akta za koji je provedeno savjetovanje s javnošću </w:t>
            </w:r>
          </w:p>
        </w:tc>
        <w:tc>
          <w:tcPr>
            <w:tcW w:w="5301"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8518CC">
            <w:pPr>
              <w:spacing w:after="120" w:line="240" w:lineRule="auto"/>
              <w:rPr>
                <w:rFonts w:ascii="Arial Narrow" w:eastAsia="Times New Roman" w:hAnsi="Arial Narrow"/>
                <w:b/>
                <w:bCs/>
                <w:sz w:val="20"/>
                <w:szCs w:val="20"/>
              </w:rPr>
            </w:pPr>
          </w:p>
          <w:p w:rsidR="0085541A" w:rsidRPr="00DD3303" w:rsidRDefault="0085541A" w:rsidP="008518CC">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Odluka  o načinu pružanja javne usluge prikupljanja miješanog i biorazgradivog komunalnog otpada</w:t>
            </w:r>
            <w:r>
              <w:rPr>
                <w:rFonts w:ascii="Arial Narrow" w:eastAsia="Times New Roman" w:hAnsi="Arial Narrow"/>
                <w:b/>
                <w:bCs/>
                <w:sz w:val="20"/>
                <w:szCs w:val="20"/>
              </w:rPr>
              <w:t>, te usluga povezanih s tom javnom uslugom</w:t>
            </w:r>
          </w:p>
          <w:p w:rsidR="0085541A" w:rsidRPr="00DD3303" w:rsidRDefault="0085541A" w:rsidP="008518CC">
            <w:pPr>
              <w:spacing w:after="120" w:line="240" w:lineRule="auto"/>
              <w:rPr>
                <w:rFonts w:ascii="Times New Roman" w:eastAsia="Times New Roman" w:hAnsi="Times New Roman"/>
                <w:color w:val="000000"/>
                <w:sz w:val="24"/>
                <w:szCs w:val="24"/>
                <w:lang w:val="it-IT"/>
              </w:rPr>
            </w:pPr>
          </w:p>
        </w:tc>
      </w:tr>
      <w:tr w:rsidR="0085541A" w:rsidRPr="00DD3303" w:rsidTr="001907B5">
        <w:tc>
          <w:tcPr>
            <w:tcW w:w="3942"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Naziv tijela nadležnog za izradu nacrta / provedbu savjetovanja </w:t>
            </w:r>
          </w:p>
        </w:tc>
        <w:tc>
          <w:tcPr>
            <w:tcW w:w="5301"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8518CC">
            <w:pPr>
              <w:spacing w:after="120" w:line="240" w:lineRule="auto"/>
              <w:rPr>
                <w:rFonts w:ascii="Arial Narrow" w:eastAsia="Times New Roman" w:hAnsi="Arial Narrow"/>
                <w:b/>
                <w:bCs/>
                <w:sz w:val="20"/>
                <w:szCs w:val="20"/>
              </w:rPr>
            </w:pPr>
            <w:r>
              <w:rPr>
                <w:rFonts w:ascii="Arial Narrow" w:eastAsia="Times New Roman" w:hAnsi="Arial Narrow"/>
                <w:b/>
                <w:bCs/>
                <w:sz w:val="20"/>
                <w:szCs w:val="20"/>
              </w:rPr>
              <w:t>Općina Ližnjan-Lisignano</w:t>
            </w:r>
          </w:p>
          <w:p w:rsidR="0085541A" w:rsidRPr="00DD3303" w:rsidRDefault="0085541A" w:rsidP="008518CC">
            <w:pPr>
              <w:spacing w:after="120" w:line="240" w:lineRule="auto"/>
              <w:rPr>
                <w:rFonts w:ascii="Arial Narrow" w:eastAsia="Times New Roman" w:hAnsi="Arial Narrow"/>
                <w:b/>
                <w:bCs/>
                <w:sz w:val="20"/>
                <w:szCs w:val="20"/>
              </w:rPr>
            </w:pPr>
            <w:r>
              <w:rPr>
                <w:rFonts w:ascii="Arial Narrow" w:eastAsia="Times New Roman" w:hAnsi="Arial Narrow"/>
                <w:b/>
                <w:bCs/>
                <w:sz w:val="20"/>
                <w:szCs w:val="20"/>
              </w:rPr>
              <w:t>Jedinstveni upravni odjel</w:t>
            </w:r>
          </w:p>
        </w:tc>
      </w:tr>
      <w:tr w:rsidR="0085541A" w:rsidRPr="00DD3303" w:rsidTr="001907B5">
        <w:tc>
          <w:tcPr>
            <w:tcW w:w="3942"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Razlozi za donošenje akta i ciljevi koji se njime žele postići uz sažetak ključnih pitanja</w:t>
            </w:r>
          </w:p>
        </w:tc>
        <w:tc>
          <w:tcPr>
            <w:tcW w:w="5301" w:type="dxa"/>
            <w:tcBorders>
              <w:top w:val="single" w:sz="4" w:space="0" w:color="365F91"/>
              <w:left w:val="single" w:sz="4" w:space="0" w:color="365F91"/>
              <w:bottom w:val="single" w:sz="4" w:space="0" w:color="365F91"/>
              <w:right w:val="single" w:sz="4" w:space="0" w:color="365F91"/>
            </w:tcBorders>
          </w:tcPr>
          <w:p w:rsidR="0085541A" w:rsidRPr="00DD3303" w:rsidRDefault="0085541A" w:rsidP="00941D1C">
            <w:pPr>
              <w:spacing w:after="120" w:line="240" w:lineRule="auto"/>
              <w:jc w:val="both"/>
              <w:rPr>
                <w:rFonts w:ascii="Arial Narrow" w:eastAsia="Times New Roman" w:hAnsi="Arial Narrow"/>
                <w:b/>
                <w:bCs/>
                <w:sz w:val="20"/>
                <w:szCs w:val="20"/>
              </w:rPr>
            </w:pPr>
          </w:p>
          <w:p w:rsidR="0085541A" w:rsidRPr="00DD3303" w:rsidRDefault="0085541A" w:rsidP="00941D1C">
            <w:pPr>
              <w:spacing w:after="120" w:line="240" w:lineRule="auto"/>
              <w:jc w:val="both"/>
              <w:rPr>
                <w:rFonts w:ascii="Arial Narrow" w:eastAsia="Times New Roman" w:hAnsi="Arial Narrow"/>
                <w:b/>
                <w:bCs/>
                <w:sz w:val="20"/>
                <w:szCs w:val="20"/>
              </w:rPr>
            </w:pPr>
            <w:r w:rsidRPr="00DD3303">
              <w:rPr>
                <w:rFonts w:ascii="Arial Narrow" w:eastAsia="Times New Roman" w:hAnsi="Arial Narrow"/>
                <w:b/>
                <w:bCs/>
                <w:sz w:val="20"/>
                <w:szCs w:val="20"/>
              </w:rPr>
              <w:t xml:space="preserve">Donošenje akta proizlazi </w:t>
            </w:r>
            <w:r>
              <w:rPr>
                <w:rFonts w:ascii="Arial Narrow" w:eastAsia="Times New Roman" w:hAnsi="Arial Narrow"/>
                <w:b/>
                <w:bCs/>
                <w:sz w:val="20"/>
                <w:szCs w:val="20"/>
              </w:rPr>
              <w:t>iz obveze utvrđene člankom 30. s</w:t>
            </w:r>
            <w:r w:rsidRPr="00DD3303">
              <w:rPr>
                <w:rFonts w:ascii="Arial Narrow" w:eastAsia="Times New Roman" w:hAnsi="Arial Narrow"/>
                <w:b/>
                <w:bCs/>
                <w:sz w:val="20"/>
                <w:szCs w:val="20"/>
              </w:rPr>
              <w:t>tavak 7. Zakona o održivom gospodarenju otpadom te članka 4. Uredbe o gospodarenju komunalnim otpadom.</w:t>
            </w:r>
          </w:p>
          <w:p w:rsidR="0085541A" w:rsidRPr="00DD3303" w:rsidRDefault="0085541A" w:rsidP="00504DDF">
            <w:pPr>
              <w:jc w:val="both"/>
              <w:rPr>
                <w:rFonts w:ascii="Arial Narrow" w:eastAsia="Times New Roman" w:hAnsi="Arial Narrow"/>
                <w:b/>
                <w:bCs/>
                <w:sz w:val="20"/>
                <w:szCs w:val="20"/>
              </w:rPr>
            </w:pPr>
            <w:r w:rsidRPr="00DD3303">
              <w:rPr>
                <w:rFonts w:ascii="Arial Narrow" w:eastAsia="Times New Roman" w:hAnsi="Arial Narrow"/>
                <w:b/>
                <w:bCs/>
                <w:sz w:val="20"/>
                <w:szCs w:val="20"/>
              </w:rPr>
              <w:t xml:space="preserve">Cilj Odluke je uspostava javnog, kvalitetnog, postojanog i ekonomski učinkovitog sustava sakupljanja komunalnog otpada na području </w:t>
            </w:r>
            <w:r>
              <w:rPr>
                <w:rFonts w:ascii="Arial Narrow" w:eastAsia="Times New Roman" w:hAnsi="Arial Narrow"/>
                <w:b/>
                <w:bCs/>
                <w:sz w:val="20"/>
                <w:szCs w:val="20"/>
              </w:rPr>
              <w:t>Općine Ližnjan-Lisignano</w:t>
            </w:r>
            <w:r w:rsidRPr="00DD3303">
              <w:rPr>
                <w:rFonts w:ascii="Arial Narrow" w:eastAsia="Times New Roman" w:hAnsi="Arial Narrow"/>
                <w:b/>
                <w:bCs/>
                <w:sz w:val="20"/>
                <w:szCs w:val="20"/>
              </w:rPr>
              <w:t>, u skladu s načelima održivog razvoja, zaštite okoliša, gospodarenja otpadom i zaštitom javnog interesa.</w:t>
            </w:r>
          </w:p>
        </w:tc>
      </w:tr>
      <w:tr w:rsidR="0085541A" w:rsidRPr="00DD3303" w:rsidTr="001907B5">
        <w:trPr>
          <w:trHeight w:val="525"/>
        </w:trPr>
        <w:tc>
          <w:tcPr>
            <w:tcW w:w="3942" w:type="dxa"/>
            <w:vMerge w:val="restart"/>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Objava dokumenata za savjetovanje </w:t>
            </w:r>
          </w:p>
          <w:p w:rsidR="0085541A" w:rsidRPr="00DD3303" w:rsidRDefault="0085541A" w:rsidP="001907B5">
            <w:pPr>
              <w:spacing w:after="120" w:line="240" w:lineRule="auto"/>
              <w:rPr>
                <w:rFonts w:ascii="Arial Narrow" w:eastAsia="Times New Roman" w:hAnsi="Arial Narrow"/>
                <w:b/>
                <w:bCs/>
                <w:sz w:val="20"/>
                <w:szCs w:val="20"/>
              </w:rPr>
            </w:pPr>
          </w:p>
          <w:p w:rsidR="0085541A" w:rsidRPr="00DD3303" w:rsidRDefault="0085541A" w:rsidP="001907B5">
            <w:pPr>
              <w:spacing w:after="120" w:line="240" w:lineRule="auto"/>
              <w:rPr>
                <w:rFonts w:ascii="Arial Narrow" w:eastAsia="Times New Roman" w:hAnsi="Arial Narrow"/>
                <w:b/>
                <w:bCs/>
                <w:sz w:val="20"/>
                <w:szCs w:val="20"/>
              </w:rPr>
            </w:pPr>
          </w:p>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Razdoblje provedbe savjetovanja </w:t>
            </w:r>
          </w:p>
          <w:p w:rsidR="0085541A" w:rsidRPr="00DD3303" w:rsidRDefault="0085541A" w:rsidP="001907B5">
            <w:pPr>
              <w:spacing w:after="120" w:line="240" w:lineRule="auto"/>
              <w:rPr>
                <w:rFonts w:ascii="Arial Narrow" w:eastAsia="Times New Roman" w:hAnsi="Arial Narrow"/>
                <w:b/>
                <w:bCs/>
                <w:sz w:val="20"/>
                <w:szCs w:val="20"/>
              </w:rPr>
            </w:pPr>
          </w:p>
        </w:tc>
        <w:tc>
          <w:tcPr>
            <w:tcW w:w="5301" w:type="dxa"/>
            <w:tcBorders>
              <w:top w:val="single" w:sz="4" w:space="0" w:color="365F91"/>
              <w:left w:val="single" w:sz="4" w:space="0" w:color="365F91"/>
              <w:bottom w:val="single" w:sz="4" w:space="0" w:color="365F91"/>
              <w:right w:val="single" w:sz="4" w:space="0" w:color="365F91"/>
            </w:tcBorders>
            <w:vAlign w:val="center"/>
          </w:tcPr>
          <w:p w:rsidR="0085541A" w:rsidRDefault="0085541A" w:rsidP="001907B5">
            <w:pPr>
              <w:spacing w:after="120" w:line="240" w:lineRule="auto"/>
              <w:rPr>
                <w:rFonts w:eastAsia="Times New Roman"/>
              </w:rPr>
            </w:pPr>
            <w:hyperlink r:id="rId5" w:history="1">
              <w:r w:rsidRPr="00267942">
                <w:rPr>
                  <w:rStyle w:val="Hyperlink"/>
                  <w:rFonts w:eastAsia="Times New Roman"/>
                </w:rPr>
                <w:t>http://www.liznjan.hr/index.php/novosti/224-poziv-za-savjetovanje-sa-zainteresiranom-javnoscu</w:t>
              </w:r>
            </w:hyperlink>
          </w:p>
          <w:p w:rsidR="0085541A" w:rsidRPr="00AD554A" w:rsidRDefault="0085541A" w:rsidP="001907B5">
            <w:pPr>
              <w:spacing w:after="120" w:line="240" w:lineRule="auto"/>
              <w:rPr>
                <w:rFonts w:eastAsia="Times New Roman"/>
                <w:szCs w:val="20"/>
              </w:rPr>
            </w:pPr>
          </w:p>
          <w:p w:rsidR="0085541A" w:rsidRPr="00DD3303" w:rsidRDefault="0085541A" w:rsidP="001907B5">
            <w:pPr>
              <w:spacing w:after="120" w:line="240" w:lineRule="auto"/>
              <w:rPr>
                <w:rFonts w:ascii="Arial Narrow" w:eastAsia="Times New Roman" w:hAnsi="Arial Narrow"/>
                <w:bCs/>
                <w:sz w:val="20"/>
                <w:szCs w:val="20"/>
                <w:highlight w:val="yellow"/>
              </w:rPr>
            </w:pPr>
          </w:p>
        </w:tc>
      </w:tr>
      <w:tr w:rsidR="0085541A" w:rsidRPr="00DD3303" w:rsidTr="001907B5">
        <w:trPr>
          <w:trHeight w:val="1499"/>
        </w:trPr>
        <w:tc>
          <w:tcPr>
            <w:tcW w:w="3942" w:type="dxa"/>
            <w:vMerge/>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p>
        </w:tc>
        <w:tc>
          <w:tcPr>
            <w:tcW w:w="5301" w:type="dxa"/>
            <w:tcBorders>
              <w:top w:val="single" w:sz="4" w:space="0" w:color="365F91"/>
              <w:left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Cs/>
                <w:sz w:val="20"/>
                <w:szCs w:val="20"/>
              </w:rPr>
            </w:pPr>
          </w:p>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Internetsko savjetovanje sa zainteresiranom javnošću provedeno je u razdoblju od </w:t>
            </w:r>
            <w:r>
              <w:rPr>
                <w:rFonts w:ascii="Arial Narrow" w:eastAsia="Times New Roman" w:hAnsi="Arial Narrow"/>
                <w:b/>
                <w:bCs/>
                <w:sz w:val="20"/>
                <w:szCs w:val="20"/>
              </w:rPr>
              <w:t>23. siječnja do 30</w:t>
            </w:r>
            <w:r w:rsidRPr="00DD3303">
              <w:rPr>
                <w:rFonts w:ascii="Arial Narrow" w:eastAsia="Times New Roman" w:hAnsi="Arial Narrow"/>
                <w:b/>
                <w:bCs/>
                <w:sz w:val="20"/>
                <w:szCs w:val="20"/>
              </w:rPr>
              <w:t>. siječnja 2018. godine</w:t>
            </w:r>
          </w:p>
          <w:p w:rsidR="0085541A" w:rsidRPr="00DD3303" w:rsidRDefault="0085541A" w:rsidP="001907B5">
            <w:pPr>
              <w:spacing w:after="120" w:line="240" w:lineRule="auto"/>
              <w:rPr>
                <w:rFonts w:ascii="Arial Narrow" w:eastAsia="Times New Roman" w:hAnsi="Arial Narrow"/>
                <w:bCs/>
                <w:sz w:val="20"/>
                <w:szCs w:val="20"/>
              </w:rPr>
            </w:pPr>
          </w:p>
        </w:tc>
      </w:tr>
      <w:tr w:rsidR="0085541A" w:rsidRPr="00DD3303" w:rsidTr="001907B5">
        <w:tc>
          <w:tcPr>
            <w:tcW w:w="3942"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 xml:space="preserve">Pregled prihvaćenih i neprihvaćenih mišljenja i prijedloga s obrazloženjem razloga za neprihvaćanje </w:t>
            </w:r>
          </w:p>
        </w:tc>
        <w:tc>
          <w:tcPr>
            <w:tcW w:w="5301"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Sadržano u Prilogu br. 1</w:t>
            </w:r>
          </w:p>
        </w:tc>
      </w:tr>
      <w:tr w:rsidR="0085541A" w:rsidRPr="00DD3303" w:rsidTr="001907B5">
        <w:tc>
          <w:tcPr>
            <w:tcW w:w="3942" w:type="dxa"/>
            <w:tcBorders>
              <w:top w:val="single" w:sz="4" w:space="0" w:color="365F91"/>
              <w:left w:val="single" w:sz="4" w:space="0" w:color="365F91"/>
              <w:bottom w:val="single" w:sz="4" w:space="0" w:color="365F91"/>
              <w:right w:val="single" w:sz="4" w:space="0" w:color="365F91"/>
            </w:tcBorders>
            <w:vAlign w:val="center"/>
          </w:tcPr>
          <w:p w:rsidR="0085541A" w:rsidRPr="00DD3303" w:rsidRDefault="0085541A" w:rsidP="001907B5">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Troškovi provedenog savjetovanja</w:t>
            </w:r>
          </w:p>
        </w:tc>
        <w:tc>
          <w:tcPr>
            <w:tcW w:w="5301" w:type="dxa"/>
            <w:tcBorders>
              <w:top w:val="single" w:sz="4" w:space="0" w:color="365F91"/>
              <w:left w:val="single" w:sz="4" w:space="0" w:color="365F91"/>
              <w:bottom w:val="single" w:sz="4" w:space="0" w:color="365F91"/>
              <w:right w:val="single" w:sz="4" w:space="0" w:color="365F91"/>
            </w:tcBorders>
          </w:tcPr>
          <w:p w:rsidR="0085541A" w:rsidRPr="00DD3303" w:rsidRDefault="0085541A" w:rsidP="00504DDF">
            <w:pPr>
              <w:spacing w:after="120" w:line="240" w:lineRule="auto"/>
              <w:rPr>
                <w:rFonts w:ascii="Arial Narrow" w:eastAsia="Times New Roman" w:hAnsi="Arial Narrow"/>
                <w:b/>
                <w:bCs/>
                <w:sz w:val="20"/>
                <w:szCs w:val="20"/>
              </w:rPr>
            </w:pPr>
            <w:r w:rsidRPr="00DD3303">
              <w:rPr>
                <w:rFonts w:ascii="Arial Narrow" w:eastAsia="Times New Roman" w:hAnsi="Arial Narrow"/>
                <w:b/>
                <w:bCs/>
                <w:sz w:val="20"/>
                <w:szCs w:val="20"/>
              </w:rPr>
              <w:t>Provedba savjetovanja nije iziskivala dodatna  financijska sredstva</w:t>
            </w:r>
          </w:p>
        </w:tc>
      </w:tr>
    </w:tbl>
    <w:p w:rsidR="0085541A" w:rsidRDefault="0085541A" w:rsidP="00E738EC">
      <w:pPr>
        <w:rPr>
          <w:rFonts w:ascii="Arial Narrow" w:eastAsia="Times New Roman" w:hAnsi="Arial Narrow"/>
          <w:b/>
          <w:bCs/>
          <w:sz w:val="20"/>
          <w:szCs w:val="20"/>
          <w:lang w:eastAsia="en-US"/>
        </w:rPr>
        <w:sectPr w:rsidR="0085541A" w:rsidSect="00240B06">
          <w:pgSz w:w="11906" w:h="16838"/>
          <w:pgMar w:top="1418" w:right="1418" w:bottom="1418" w:left="1418" w:header="709" w:footer="709" w:gutter="0"/>
          <w:cols w:space="708"/>
          <w:docGrid w:linePitch="360"/>
        </w:sectPr>
      </w:pPr>
      <w:bookmarkStart w:id="1" w:name="_Toc468978618"/>
    </w:p>
    <w:p w:rsidR="0085541A" w:rsidRPr="00E738EC" w:rsidRDefault="0085541A" w:rsidP="00E738EC">
      <w:pPr>
        <w:rPr>
          <w:rFonts w:ascii="Arial Narrow" w:eastAsia="Times New Roman" w:hAnsi="Arial Narrow"/>
          <w:b/>
          <w:bCs/>
          <w:sz w:val="20"/>
          <w:szCs w:val="20"/>
          <w:lang w:eastAsia="en-US"/>
        </w:rPr>
      </w:pPr>
      <w:r w:rsidRPr="00E738EC">
        <w:rPr>
          <w:rFonts w:ascii="Arial Narrow" w:eastAsia="Times New Roman" w:hAnsi="Arial Narrow"/>
          <w:b/>
          <w:bCs/>
          <w:sz w:val="20"/>
          <w:szCs w:val="20"/>
          <w:lang w:eastAsia="en-US"/>
        </w:rPr>
        <w:t>Prilog 1. Pregled prihvaćenih i neprihvaćenih primjedbi</w:t>
      </w:r>
      <w:bookmarkEnd w:id="1"/>
    </w:p>
    <w:tbl>
      <w:tblPr>
        <w:tblW w:w="148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tblPr>
      <w:tblGrid>
        <w:gridCol w:w="773"/>
        <w:gridCol w:w="1603"/>
        <w:gridCol w:w="7230"/>
        <w:gridCol w:w="5244"/>
      </w:tblGrid>
      <w:tr w:rsidR="0085541A" w:rsidRPr="00DD3303" w:rsidTr="00EA5100">
        <w:tc>
          <w:tcPr>
            <w:tcW w:w="773" w:type="dxa"/>
            <w:tcBorders>
              <w:top w:val="single" w:sz="18" w:space="0" w:color="auto"/>
            </w:tcBorders>
            <w:vAlign w:val="center"/>
          </w:tcPr>
          <w:p w:rsidR="0085541A" w:rsidRPr="00DD3303" w:rsidRDefault="0085541A" w:rsidP="00E738EC">
            <w:pPr>
              <w:spacing w:after="120" w:line="240" w:lineRule="auto"/>
              <w:jc w:val="center"/>
              <w:rPr>
                <w:rFonts w:ascii="Arial Narrow" w:eastAsia="Times New Roman" w:hAnsi="Arial Narrow"/>
                <w:b/>
                <w:sz w:val="18"/>
                <w:szCs w:val="18"/>
              </w:rPr>
            </w:pPr>
            <w:r w:rsidRPr="00DD3303">
              <w:rPr>
                <w:rFonts w:ascii="Arial Narrow" w:eastAsia="Times New Roman" w:hAnsi="Arial Narrow"/>
                <w:b/>
                <w:sz w:val="18"/>
                <w:szCs w:val="18"/>
              </w:rPr>
              <w:t>Redni broj</w:t>
            </w:r>
          </w:p>
        </w:tc>
        <w:tc>
          <w:tcPr>
            <w:tcW w:w="1603" w:type="dxa"/>
            <w:tcBorders>
              <w:top w:val="single" w:sz="18" w:space="0" w:color="auto"/>
            </w:tcBorders>
            <w:vAlign w:val="center"/>
          </w:tcPr>
          <w:p w:rsidR="0085541A" w:rsidRPr="00DD3303" w:rsidRDefault="0085541A" w:rsidP="00E738EC">
            <w:pPr>
              <w:spacing w:after="120" w:line="240" w:lineRule="auto"/>
              <w:jc w:val="center"/>
              <w:rPr>
                <w:rFonts w:ascii="Arial Narrow" w:eastAsia="Times New Roman" w:hAnsi="Arial Narrow"/>
                <w:b/>
                <w:sz w:val="18"/>
                <w:szCs w:val="18"/>
              </w:rPr>
            </w:pPr>
            <w:r w:rsidRPr="00DD3303">
              <w:rPr>
                <w:rFonts w:ascii="Arial Narrow" w:eastAsia="Times New Roman" w:hAnsi="Arial Narrow"/>
                <w:b/>
                <w:sz w:val="18"/>
                <w:szCs w:val="18"/>
              </w:rPr>
              <w:t>Sudionik savjetovanja (ime i prezime pojedinca, naziv organizacije)</w:t>
            </w:r>
          </w:p>
        </w:tc>
        <w:tc>
          <w:tcPr>
            <w:tcW w:w="7230" w:type="dxa"/>
            <w:tcBorders>
              <w:top w:val="single" w:sz="18" w:space="0" w:color="auto"/>
            </w:tcBorders>
            <w:vAlign w:val="center"/>
          </w:tcPr>
          <w:p w:rsidR="0085541A" w:rsidRPr="00DD3303" w:rsidRDefault="0085541A" w:rsidP="00EA5100">
            <w:pPr>
              <w:spacing w:after="120" w:line="240" w:lineRule="auto"/>
              <w:jc w:val="center"/>
              <w:rPr>
                <w:rFonts w:ascii="Arial Narrow" w:eastAsia="Times New Roman" w:hAnsi="Arial Narrow"/>
                <w:b/>
                <w:sz w:val="18"/>
                <w:szCs w:val="18"/>
              </w:rPr>
            </w:pPr>
            <w:r w:rsidRPr="00DD3303">
              <w:rPr>
                <w:rFonts w:ascii="Arial Narrow" w:eastAsia="Times New Roman" w:hAnsi="Arial Narrow"/>
                <w:b/>
                <w:sz w:val="18"/>
                <w:szCs w:val="18"/>
              </w:rPr>
              <w:t>Tekst zaprimljenog prijedloga ili mišljenja</w:t>
            </w:r>
          </w:p>
        </w:tc>
        <w:tc>
          <w:tcPr>
            <w:tcW w:w="5244" w:type="dxa"/>
            <w:tcBorders>
              <w:top w:val="single" w:sz="18" w:space="0" w:color="auto"/>
            </w:tcBorders>
            <w:vAlign w:val="center"/>
          </w:tcPr>
          <w:p w:rsidR="0085541A" w:rsidRPr="00DD3303" w:rsidRDefault="0085541A" w:rsidP="00EA5100">
            <w:pPr>
              <w:spacing w:after="120" w:line="240" w:lineRule="auto"/>
              <w:jc w:val="center"/>
              <w:rPr>
                <w:rFonts w:ascii="Arial Narrow" w:eastAsia="Times New Roman" w:hAnsi="Arial Narrow"/>
                <w:b/>
                <w:sz w:val="18"/>
                <w:szCs w:val="18"/>
              </w:rPr>
            </w:pPr>
            <w:r w:rsidRPr="00DD3303">
              <w:rPr>
                <w:rFonts w:ascii="Arial Narrow" w:eastAsia="Times New Roman" w:hAnsi="Arial Narrow"/>
                <w:b/>
                <w:sz w:val="18"/>
                <w:szCs w:val="18"/>
              </w:rPr>
              <w:t>Status prijedloga ili mišljenja (prihvaćanje/neprihvaćanje s  obrazloženjem)</w:t>
            </w:r>
          </w:p>
        </w:tc>
      </w:tr>
      <w:tr w:rsidR="0085541A" w:rsidRPr="00DD3303" w:rsidTr="00EA5100">
        <w:trPr>
          <w:trHeight w:val="567"/>
        </w:trPr>
        <w:tc>
          <w:tcPr>
            <w:tcW w:w="773" w:type="dxa"/>
            <w:shd w:val="clear" w:color="auto" w:fill="D9D9D9"/>
            <w:vAlign w:val="center"/>
          </w:tcPr>
          <w:p w:rsidR="0085541A" w:rsidRPr="00DD3303" w:rsidRDefault="0085541A" w:rsidP="008518CC">
            <w:pPr>
              <w:spacing w:after="120" w:line="240" w:lineRule="auto"/>
              <w:rPr>
                <w:rFonts w:ascii="Arial Narrow" w:eastAsia="Times New Roman" w:hAnsi="Arial Narrow"/>
                <w:b/>
                <w:sz w:val="18"/>
                <w:szCs w:val="18"/>
              </w:rPr>
            </w:pPr>
            <w:r w:rsidRPr="00DD3303">
              <w:rPr>
                <w:rFonts w:ascii="Arial Narrow" w:eastAsia="Times New Roman" w:hAnsi="Arial Narrow"/>
                <w:b/>
                <w:sz w:val="18"/>
                <w:szCs w:val="18"/>
              </w:rPr>
              <w:t>1.</w:t>
            </w:r>
          </w:p>
        </w:tc>
        <w:tc>
          <w:tcPr>
            <w:tcW w:w="1603" w:type="dxa"/>
            <w:shd w:val="clear" w:color="auto" w:fill="D9D9D9"/>
            <w:vAlign w:val="center"/>
          </w:tcPr>
          <w:p w:rsidR="0085541A" w:rsidRPr="00DD3303" w:rsidRDefault="0085541A" w:rsidP="008518CC">
            <w:pPr>
              <w:spacing w:after="120" w:line="240" w:lineRule="auto"/>
              <w:rPr>
                <w:rFonts w:ascii="Arial Narrow" w:eastAsia="Times New Roman" w:hAnsi="Arial Narrow"/>
                <w:b/>
                <w:sz w:val="18"/>
                <w:szCs w:val="18"/>
              </w:rPr>
            </w:pPr>
            <w:r>
              <w:rPr>
                <w:rFonts w:ascii="Arial Narrow" w:eastAsia="Times New Roman" w:hAnsi="Arial Narrow"/>
                <w:b/>
                <w:sz w:val="18"/>
                <w:szCs w:val="18"/>
              </w:rPr>
              <w:t>Igor Košara</w:t>
            </w:r>
          </w:p>
        </w:tc>
        <w:tc>
          <w:tcPr>
            <w:tcW w:w="7230" w:type="dxa"/>
            <w:shd w:val="clear" w:color="auto" w:fill="D9D9D9"/>
            <w:vAlign w:val="center"/>
          </w:tcPr>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Čl.2 potrebito je pojasniti pojam „reciklažno dvorište“</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Čl.4 nejasna je odredba u st.2 koje obveze Davatelj usluga može prenijeti na vlastiti pogon Općine Ližnjan-Lisignano</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Čl.8 st.2 treba nadodati i mogućnost korištenja spremnika od 60 litara i 80 litara – u obrazloženju odluke je to predviđeno, ali nije uzeto u obzir- samačka kućanstva i kućanstva sa dva člana</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Čl.8 –nadodavanja st.6 koji bi omogućio prikupljanje otpada u PVC vrećice, koje su posebito korisne kod korisnika javne usluge koji nemaju mogućnosti držanja spremnika u stambenim prostorima, a ne posjeduju okućnicu</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Čl.17- potrebito je nadodati stavak 2 koji bi regulirao način jamčenja izvršenja kućnog kompostiranja za one korisnike koji se za to odluče, a sukladno čl.9 Zakona o održivom gospodarenju otpadom, pa bi st.2 postao st.3</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Čl.18-vodeći računa o turističkoj sezoni te o statističkom trendu stalnog povećanja noćenja, planirani broj primopredaja otpada za otpad obuhvaćen javnom uslugom povećati na dvaput tjedno, a otpadni papir, plastiku, tekstil, metal i otpadno staklo u spremnicima kod korisnika usluge najmanje dvaput mjesečno</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Čl.28 treba nadodati st.2 koji bi regulirao tko može koristiti reciklažno dvorište</w:t>
            </w:r>
          </w:p>
          <w:p w:rsidR="0085541A" w:rsidRPr="00DA4B29" w:rsidRDefault="0085541A" w:rsidP="00DA4B29">
            <w:pPr>
              <w:pStyle w:val="BodyText"/>
              <w:numPr>
                <w:ilvl w:val="0"/>
                <w:numId w:val="1"/>
              </w:numPr>
              <w:suppressAutoHyphens/>
              <w:spacing w:before="120"/>
              <w:jc w:val="both"/>
              <w:rPr>
                <w:rFonts w:ascii="Arial Narrow" w:eastAsia="Simsun (Founder Extended)" w:hAnsi="Arial Narrow" w:cs="Arial"/>
                <w:b/>
                <w:sz w:val="18"/>
                <w:szCs w:val="18"/>
                <w:lang w:val="hr-HR"/>
              </w:rPr>
            </w:pPr>
            <w:r w:rsidRPr="00DA4B29">
              <w:rPr>
                <w:rFonts w:ascii="Arial Narrow" w:eastAsia="Simsun (Founder Extended)" w:hAnsi="Arial Narrow" w:cs="Arial"/>
                <w:b/>
                <w:sz w:val="18"/>
                <w:szCs w:val="18"/>
                <w:lang w:val="hr-HR"/>
              </w:rPr>
              <w:t>Čl.58 preciznije bi trebalo definirati što se smatra primitkom računa i od kada teku rokovi za prigovor</w:t>
            </w:r>
          </w:p>
          <w:p w:rsidR="0085541A" w:rsidRDefault="0085541A" w:rsidP="00DA4B29">
            <w:pPr>
              <w:spacing w:after="0" w:line="240" w:lineRule="auto"/>
              <w:ind w:left="357"/>
              <w:rPr>
                <w:rFonts w:ascii="Arial Narrow" w:eastAsia="Simsun (Founder Extended)" w:hAnsi="Arial Narrow" w:cs="Arial"/>
                <w:b/>
                <w:sz w:val="18"/>
                <w:szCs w:val="18"/>
              </w:rPr>
            </w:pPr>
            <w:r>
              <w:rPr>
                <w:rFonts w:ascii="Arial Narrow" w:eastAsia="Simsun (Founder Extended)" w:hAnsi="Arial Narrow" w:cs="Arial"/>
                <w:b/>
                <w:sz w:val="18"/>
                <w:szCs w:val="18"/>
              </w:rPr>
              <w:t xml:space="preserve"> -       </w:t>
            </w:r>
            <w:r w:rsidRPr="00DA4B29">
              <w:rPr>
                <w:rFonts w:ascii="Arial Narrow" w:eastAsia="Simsun (Founder Extended)" w:hAnsi="Arial Narrow" w:cs="Arial"/>
                <w:b/>
                <w:sz w:val="18"/>
                <w:szCs w:val="18"/>
              </w:rPr>
              <w:t>Čl.59 bi trebalo izmijeniti na način da se definira kako Jedinstveni upravni odjel Općine</w:t>
            </w:r>
          </w:p>
          <w:p w:rsidR="0085541A" w:rsidRDefault="0085541A" w:rsidP="00DA4B29">
            <w:pPr>
              <w:spacing w:after="0" w:line="240" w:lineRule="auto"/>
              <w:ind w:left="357"/>
              <w:rPr>
                <w:rFonts w:ascii="Arial Narrow" w:eastAsia="Simsun (Founder Extended)" w:hAnsi="Arial Narrow" w:cs="Arial"/>
                <w:b/>
                <w:sz w:val="18"/>
                <w:szCs w:val="18"/>
              </w:rPr>
            </w:pPr>
            <w:r>
              <w:rPr>
                <w:rFonts w:ascii="Arial Narrow" w:eastAsia="Simsun (Founder Extended)" w:hAnsi="Arial Narrow" w:cs="Arial"/>
                <w:b/>
                <w:sz w:val="18"/>
                <w:szCs w:val="18"/>
              </w:rPr>
              <w:t xml:space="preserve">   </w:t>
            </w:r>
            <w:r w:rsidRPr="00DA4B29">
              <w:rPr>
                <w:rFonts w:ascii="Arial Narrow" w:eastAsia="Simsun (Founder Extended)" w:hAnsi="Arial Narrow" w:cs="Arial"/>
                <w:b/>
                <w:sz w:val="18"/>
                <w:szCs w:val="18"/>
              </w:rPr>
              <w:t xml:space="preserve"> </w:t>
            </w:r>
            <w:r>
              <w:rPr>
                <w:rFonts w:ascii="Arial Narrow" w:eastAsia="Simsun (Founder Extended)" w:hAnsi="Arial Narrow" w:cs="Arial"/>
                <w:b/>
                <w:sz w:val="18"/>
                <w:szCs w:val="18"/>
              </w:rPr>
              <w:t xml:space="preserve">     </w:t>
            </w:r>
            <w:r w:rsidRPr="00DA4B29">
              <w:rPr>
                <w:rFonts w:ascii="Arial Narrow" w:eastAsia="Simsun (Founder Extended)" w:hAnsi="Arial Narrow" w:cs="Arial"/>
                <w:b/>
                <w:sz w:val="18"/>
                <w:szCs w:val="18"/>
              </w:rPr>
              <w:t xml:space="preserve">Ližnjan-Lisignano obavlja upravni nadzor, a inspekcijski nadzor nad primjenom Odluke </w:t>
            </w:r>
          </w:p>
          <w:p w:rsidR="0085541A" w:rsidRPr="00DD3303" w:rsidRDefault="0085541A" w:rsidP="00DA4B29">
            <w:pPr>
              <w:spacing w:after="0" w:line="240" w:lineRule="auto"/>
              <w:ind w:left="357"/>
              <w:rPr>
                <w:rFonts w:ascii="Arial Narrow" w:eastAsia="Times New Roman" w:hAnsi="Arial Narrow"/>
                <w:b/>
                <w:sz w:val="18"/>
                <w:szCs w:val="18"/>
              </w:rPr>
            </w:pPr>
            <w:r>
              <w:rPr>
                <w:rFonts w:ascii="Arial Narrow" w:eastAsia="Simsun (Founder Extended)" w:hAnsi="Arial Narrow" w:cs="Arial"/>
                <w:b/>
                <w:sz w:val="18"/>
                <w:szCs w:val="18"/>
              </w:rPr>
              <w:t xml:space="preserve">         </w:t>
            </w:r>
            <w:r w:rsidRPr="00DA4B29">
              <w:rPr>
                <w:rFonts w:ascii="Arial Narrow" w:eastAsia="Simsun (Founder Extended)" w:hAnsi="Arial Narrow" w:cs="Arial"/>
                <w:b/>
                <w:sz w:val="18"/>
                <w:szCs w:val="18"/>
              </w:rPr>
              <w:t>obavlja Davatelj usluga i Komunalno redarstvo Općine Ližnjan-Lisignano</w:t>
            </w:r>
          </w:p>
        </w:tc>
        <w:tc>
          <w:tcPr>
            <w:tcW w:w="5244" w:type="dxa"/>
            <w:shd w:val="clear" w:color="auto" w:fill="D9D9D9"/>
            <w:vAlign w:val="center"/>
          </w:tcPr>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Člankom 4. stavak 1. točka 50. Zakona o održivom gospodarenju otpadom, temeljem kojeg se i donosi predmetna odluka,  definiran je pojam "reciklažnog dvorišta", kao i drugi pojmovi spominjani u predmetnoj odluci, stoga je nepotrebno u istoj posebno pojašnjavati pojam "reciklažnog dvorišta".</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Prihvaćena je primjedba o prenesenom dijelu usluga na vlastiti pogon, budući će se navedeno pitanje definirati posebnim Pravilnikom o ustrojstvu i zadaćama vlastitog pogona, po njegovom osnivanju, iz kojeg je razloga brisan stavak 2. članka 4. odluke.</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Djelomično je prihvaćena primjedba o mogućnosti korištenja spremnika od 60 litara i 80 litara, na način da je predviđen i spremnik od 80 litara.</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Nije prihvaćena primjedba o prikupljanju otpada u PVC vrećice iz ekoloških i praktičnih razloga.</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 xml:space="preserve">Brisan je stavak 2. čl. 17. predmetne Odluke, čime je primjedba djelomično prihvaćena, odnosno ostalo je propisano da će davatelj usluge,  </w:t>
            </w:r>
            <w:r w:rsidRPr="00DD3303">
              <w:rPr>
                <w:rFonts w:ascii="Arial Narrow" w:eastAsia="Times New Roman" w:hAnsi="Arial Narrow"/>
                <w:b/>
                <w:sz w:val="18"/>
                <w:szCs w:val="18"/>
              </w:rPr>
              <w:t>u skladu sa svojim mogućnostima, korisnicima koji to zatraže i dokažu da imaju uvjete za kućno kompostiranje, osigurati  tipizirane spremnike za kompostiranje.</w:t>
            </w:r>
            <w:r>
              <w:rPr>
                <w:rFonts w:ascii="Arial Narrow" w:eastAsia="Times New Roman" w:hAnsi="Arial Narrow"/>
                <w:b/>
                <w:sz w:val="18"/>
                <w:szCs w:val="18"/>
              </w:rPr>
              <w:t xml:space="preserve"> Ostalo je brisano kao nepotrebno.</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Člankom 19. predmetne odluke definirano je da je davatelj usluge obvezan, na zahtjev korisnika, uz naknadu prema Cjeniku preuzeti od korisnika usluge količinu otpada obuhvaćenu javnom uslugom veću od ugovorene (i propisane u čl. 18.).</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Nepotrebno je definirati krug korisnika reciklažnog dvorišta s obzirom na činjenicu da nema propisanih ograničenja ni zapreka u korištenju.</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člankom 58. dovoljno je jasno definiran rok za izjavljivanje prigovora na ispostavljeni račun. Opće je poznat pojam "zaprimanje", odnosno (fizički) primitak računa.</w:t>
            </w:r>
          </w:p>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Posebnim propisima propisana je nadležnost nad provođenjem "upravnog" i "inspekcijskog" nadzora, što se ne može definirati ovom odlukom na način da bude u suprotnosti ili koliziji sa važećim propisima Republike Hrvatske, a člankom 59. predmetne odluke definirano je provođenje "nadzora nad provedbom odluke" od strane Jedinstvenog upravnog odjela (što nisu isti pojmovi) i čiji sastavni dio je komunalno redarstvo, a čije ovlasti odnosno zadatke radnog mjesta propisuje posebni Pravilnik.</w:t>
            </w:r>
          </w:p>
          <w:p w:rsidR="0085541A" w:rsidRDefault="0085541A" w:rsidP="00EA5100">
            <w:pPr>
              <w:spacing w:after="120" w:line="240" w:lineRule="auto"/>
              <w:rPr>
                <w:rFonts w:ascii="Arial Narrow" w:eastAsia="Times New Roman" w:hAnsi="Arial Narrow"/>
                <w:b/>
                <w:sz w:val="18"/>
                <w:szCs w:val="18"/>
              </w:rPr>
            </w:pPr>
          </w:p>
          <w:p w:rsidR="0085541A" w:rsidRDefault="0085541A" w:rsidP="00EA5100">
            <w:pPr>
              <w:spacing w:after="120" w:line="240" w:lineRule="auto"/>
              <w:rPr>
                <w:rFonts w:ascii="Arial Narrow" w:eastAsia="Times New Roman" w:hAnsi="Arial Narrow"/>
                <w:b/>
                <w:sz w:val="18"/>
                <w:szCs w:val="18"/>
              </w:rPr>
            </w:pPr>
          </w:p>
          <w:p w:rsidR="0085541A" w:rsidRPr="00DD3303" w:rsidRDefault="0085541A" w:rsidP="00EA5100">
            <w:pPr>
              <w:spacing w:after="120" w:line="240" w:lineRule="auto"/>
              <w:rPr>
                <w:rFonts w:ascii="Arial Narrow" w:eastAsia="Times New Roman" w:hAnsi="Arial Narrow"/>
                <w:b/>
                <w:sz w:val="18"/>
                <w:szCs w:val="18"/>
              </w:rPr>
            </w:pPr>
          </w:p>
        </w:tc>
      </w:tr>
      <w:tr w:rsidR="0085541A" w:rsidRPr="00DD3303" w:rsidTr="00EA5100">
        <w:trPr>
          <w:trHeight w:val="567"/>
        </w:trPr>
        <w:tc>
          <w:tcPr>
            <w:tcW w:w="773" w:type="dxa"/>
            <w:tcBorders>
              <w:bottom w:val="single" w:sz="18" w:space="0" w:color="auto"/>
            </w:tcBorders>
            <w:vAlign w:val="center"/>
          </w:tcPr>
          <w:p w:rsidR="0085541A" w:rsidRPr="00DD3303" w:rsidRDefault="0085541A" w:rsidP="003D1E30">
            <w:pPr>
              <w:spacing w:after="120" w:line="240" w:lineRule="auto"/>
              <w:rPr>
                <w:rFonts w:ascii="Arial Narrow" w:eastAsia="Times New Roman" w:hAnsi="Arial Narrow"/>
                <w:b/>
                <w:sz w:val="18"/>
                <w:szCs w:val="18"/>
              </w:rPr>
            </w:pPr>
            <w:r w:rsidRPr="00DD3303">
              <w:rPr>
                <w:rFonts w:ascii="Arial Narrow" w:eastAsia="Times New Roman" w:hAnsi="Arial Narrow"/>
                <w:b/>
                <w:sz w:val="18"/>
                <w:szCs w:val="18"/>
              </w:rPr>
              <w:t>2.</w:t>
            </w:r>
          </w:p>
        </w:tc>
        <w:tc>
          <w:tcPr>
            <w:tcW w:w="1603" w:type="dxa"/>
            <w:tcBorders>
              <w:bottom w:val="single" w:sz="18" w:space="0" w:color="auto"/>
            </w:tcBorders>
            <w:vAlign w:val="center"/>
          </w:tcPr>
          <w:p w:rsidR="0085541A" w:rsidRPr="00DD3303" w:rsidRDefault="0085541A" w:rsidP="003D1E30">
            <w:pPr>
              <w:spacing w:after="120" w:line="240" w:lineRule="auto"/>
              <w:rPr>
                <w:rFonts w:ascii="Arial Narrow" w:eastAsia="Times New Roman" w:hAnsi="Arial Narrow"/>
                <w:b/>
                <w:sz w:val="18"/>
                <w:szCs w:val="18"/>
              </w:rPr>
            </w:pPr>
            <w:r>
              <w:rPr>
                <w:rFonts w:ascii="Arial Narrow" w:eastAsia="Times New Roman" w:hAnsi="Arial Narrow"/>
                <w:b/>
                <w:sz w:val="18"/>
                <w:szCs w:val="18"/>
              </w:rPr>
              <w:t>Đanino Bubola</w:t>
            </w:r>
          </w:p>
        </w:tc>
        <w:tc>
          <w:tcPr>
            <w:tcW w:w="7230" w:type="dxa"/>
            <w:tcBorders>
              <w:bottom w:val="single" w:sz="18" w:space="0" w:color="auto"/>
            </w:tcBorders>
            <w:vAlign w:val="center"/>
          </w:tcPr>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ČL.4.(1): zašto se produžuje ugovor s Herculaneom umjesto da se objavi natječaj i prikupe ponude, možda bi bilo davatelja usluga koji bi po nižim cijenama obavljali iste usluge kao Herculanea (monopol)</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ČL.4.(2): što znači manji dio, koji je to obim posla, zašto je važno napisati u Odluci kako će Herculanea raditi sa svojim pogonima?</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ČL.14,15,21 : isključuje li se time papir iz otpada koji se odnosi na javnu uslugu ( vezano na ČL.2(1)11 i 2(1)3)</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ČL.17.: izraz „u skaldu sa svojim mogućnostima“ omogućuje davatelju usluga da te „mogućnosti“ NE PRUŽI NIKAD</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ČL.18.:(1) ...za otpadni papir, plastiku...u spremnicima kod korisnika usluge...u kontradikciji sa čl.7.3...sakupljanje otpadnog papira, metala, plastike...i djelomice u suprotnosti s čl.8(3) koji predviđa korisnicima javne usluge slobodan odabir JEDNOG od spremnika.</w:t>
            </w:r>
            <w:r w:rsidRPr="00E06526">
              <w:rPr>
                <w:rFonts w:ascii="Arial Narrow" w:eastAsia="Times New Roman" w:hAnsi="Arial Narrow"/>
                <w:b/>
                <w:sz w:val="18"/>
                <w:szCs w:val="18"/>
                <w:lang w:eastAsia="hr-HR"/>
              </w:rPr>
              <w:br/>
              <w:t>Plastika i plastici slični umjetni materijali koji služe kao ambalaža svježim namirnicama životinjskog porijekla NE može biti pohranjena duže od 7 dana u hladnim vremenskim uvjetima, a ljeti samo 2-3 dana. Odvoz takvog materijala jednom mjesečno predstavlja neposredno ugrožavanje zdravlja mještana.</w:t>
            </w:r>
            <w:r w:rsidRPr="00E06526">
              <w:rPr>
                <w:rFonts w:ascii="Arial Narrow" w:eastAsia="Times New Roman" w:hAnsi="Arial Narrow"/>
                <w:b/>
                <w:sz w:val="18"/>
                <w:szCs w:val="18"/>
                <w:lang w:eastAsia="hr-HR"/>
              </w:rPr>
              <w:br/>
              <w:t>Minimalni broj odvoza otpada postaje jedini zagarantirani broj odvoza (davatelj usluga neće, ako nije ugovorm prisiljen, povećati broj odvoza otpada).</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ČL.25(1) 3 kubika je premali volumen, kako se odredilo 3 kubika, potrebno je zagarantirati barem dvostruko veći volumen</w:t>
            </w:r>
            <w:r w:rsidRPr="00E06526">
              <w:rPr>
                <w:rFonts w:ascii="Arial Narrow" w:eastAsia="Times New Roman" w:hAnsi="Arial Narrow"/>
                <w:b/>
                <w:sz w:val="18"/>
                <w:szCs w:val="18"/>
                <w:lang w:eastAsia="hr-HR"/>
              </w:rPr>
              <w:br/>
              <w:t>(2)gdje se može steći uvid u Plan odvoza krupnog otpada?</w:t>
            </w:r>
            <w:r w:rsidRPr="00E06526">
              <w:rPr>
                <w:rFonts w:ascii="Arial Narrow" w:eastAsia="Times New Roman" w:hAnsi="Arial Narrow"/>
                <w:b/>
                <w:sz w:val="18"/>
                <w:szCs w:val="18"/>
                <w:lang w:eastAsia="hr-HR"/>
              </w:rPr>
              <w:br/>
              <w:t>(3)je li otpad koji se odlaže u reciklažnim dvorištima izuzet iz kvote pod (1)?</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ČL.26.:gdje je moguć uvid u „Cjenik“?</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ČL.30.(2).:postoji li „minimalni broj pražnjenja“ spremnika u obračunskom periodu, je li broj pražnjenja konstantan ili je varijabilan?</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 xml:space="preserve">ČL.33(2) i 35.: u neskladu s čl.30 gdje se utvrđuje da se visina usluge određuje u srazmjeru s količinom predanog otpada i broju pražnjenja. </w:t>
            </w:r>
            <w:r w:rsidRPr="00E06526">
              <w:rPr>
                <w:rFonts w:ascii="Arial Narrow" w:eastAsia="Times New Roman" w:hAnsi="Arial Narrow"/>
                <w:b/>
                <w:sz w:val="18"/>
                <w:szCs w:val="18"/>
                <w:lang w:eastAsia="hr-HR"/>
              </w:rPr>
              <w:br/>
              <w:t>Može li cijena ugovorne kazne biti sastavnica cijene usluge?</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ČL.43.:namjenska se naknada može eventualno uvesti tek nakon donesenog plana lokacija i svrhovitosti gradnje građevina za gospodarenje komunalnim otpadom i mora imati vremensko ograničenje</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ČL.48.(3</w:t>
            </w:r>
            <w:r w:rsidRPr="00E06526">
              <w:rPr>
                <w:rFonts w:ascii="Arial Narrow" w:eastAsia="Times New Roman" w:hAnsi="Arial Narrow"/>
                <w:b/>
                <w:i/>
                <w:iCs/>
                <w:sz w:val="18"/>
                <w:szCs w:val="18"/>
                <w:lang w:eastAsia="hr-HR"/>
              </w:rPr>
              <w:t xml:space="preserve">): dodati: osim ako korisnik usluge ne utvrdi drukčije stanje i to evidentira </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ČL.50.(2,3): javnu površinu za spremnike odvojenog otpada neka utvrdi Općina, a ne davatelj usluga</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ČL.54. u slučaju više sile između nastanka uvjeta pod (3) i (4) gdje se odlaže otpad?</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ČL.55.: NE u „prvom slobodnom terminu“ već prvog radnog dana nakon blagdana</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ČL.62.: novi cjenik kad se ispune uvjeti iz čl.61 (otpada (3)</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sz w:val="18"/>
                <w:szCs w:val="18"/>
                <w:lang w:eastAsia="hr-HR"/>
              </w:rPr>
              <w:t> </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bCs/>
                <w:sz w:val="18"/>
                <w:szCs w:val="18"/>
                <w:lang w:eastAsia="hr-HR"/>
              </w:rPr>
              <w:t>OPĆI UVJETI</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ČL.5.(2).: gdje se može steći uvid u „Izjavu“ i cjenik javne usluge?</w:t>
            </w:r>
          </w:p>
          <w:p w:rsidR="0085541A" w:rsidRPr="00E06526" w:rsidRDefault="0085541A" w:rsidP="00BB40E5">
            <w:pPr>
              <w:spacing w:after="0" w:line="240" w:lineRule="auto"/>
              <w:rPr>
                <w:rFonts w:ascii="Arial Narrow" w:eastAsia="Times New Roman" w:hAnsi="Arial Narrow"/>
                <w:b/>
                <w:sz w:val="18"/>
                <w:szCs w:val="18"/>
                <w:lang w:eastAsia="hr-HR"/>
              </w:rPr>
            </w:pPr>
            <w:r w:rsidRPr="00E06526">
              <w:rPr>
                <w:rFonts w:ascii="Arial Narrow" w:eastAsia="Times New Roman" w:hAnsi="Arial Narrow"/>
                <w:b/>
                <w:sz w:val="18"/>
                <w:szCs w:val="18"/>
                <w:lang w:eastAsia="hr-HR"/>
              </w:rPr>
              <w:t xml:space="preserve">Čl.22.(1).: </w:t>
            </w:r>
            <w:r w:rsidRPr="00E06526">
              <w:rPr>
                <w:rFonts w:ascii="Arial Narrow" w:eastAsia="Times New Roman" w:hAnsi="Arial Narrow"/>
                <w:b/>
                <w:i/>
                <w:iCs/>
                <w:sz w:val="18"/>
                <w:szCs w:val="18"/>
                <w:lang w:eastAsia="hr-HR"/>
              </w:rPr>
              <w:t>dodati</w:t>
            </w:r>
            <w:r w:rsidRPr="00E06526">
              <w:rPr>
                <w:rFonts w:ascii="Arial Narrow" w:eastAsia="Times New Roman" w:hAnsi="Arial Narrow"/>
                <w:b/>
                <w:sz w:val="18"/>
                <w:szCs w:val="18"/>
                <w:lang w:eastAsia="hr-HR"/>
              </w:rPr>
              <w:t xml:space="preserve">: ...korisnik može podnijeti pisanu reklamaciju </w:t>
            </w:r>
            <w:r w:rsidRPr="00E06526">
              <w:rPr>
                <w:rFonts w:ascii="Arial Narrow" w:eastAsia="Times New Roman" w:hAnsi="Arial Narrow"/>
                <w:b/>
                <w:bCs/>
                <w:i/>
                <w:iCs/>
                <w:sz w:val="18"/>
                <w:szCs w:val="18"/>
                <w:lang w:eastAsia="hr-HR"/>
              </w:rPr>
              <w:t>Općini Ližnjan</w:t>
            </w:r>
            <w:r w:rsidRPr="00E06526">
              <w:rPr>
                <w:rFonts w:ascii="Arial Narrow" w:eastAsia="Times New Roman" w:hAnsi="Arial Narrow"/>
                <w:b/>
                <w:sz w:val="18"/>
                <w:szCs w:val="18"/>
                <w:lang w:eastAsia="hr-HR"/>
              </w:rPr>
              <w:t xml:space="preserve"> i Povjerenstvu za....</w:t>
            </w:r>
          </w:p>
          <w:p w:rsidR="0085541A" w:rsidRPr="00E06526" w:rsidRDefault="0085541A" w:rsidP="00BB40E5">
            <w:pPr>
              <w:spacing w:before="120" w:after="120" w:line="240" w:lineRule="auto"/>
              <w:rPr>
                <w:rFonts w:ascii="Arial Narrow" w:eastAsia="Times New Roman" w:hAnsi="Arial Narrow"/>
                <w:sz w:val="18"/>
                <w:szCs w:val="18"/>
                <w:lang w:eastAsia="hr-HR"/>
              </w:rPr>
            </w:pPr>
            <w:r w:rsidRPr="00E06526">
              <w:rPr>
                <w:rFonts w:ascii="Arial Narrow" w:eastAsia="Times New Roman" w:hAnsi="Arial Narrow"/>
                <w:sz w:val="18"/>
                <w:szCs w:val="18"/>
                <w:lang w:eastAsia="hr-HR"/>
              </w:rPr>
              <w:t> </w:t>
            </w:r>
          </w:p>
          <w:p w:rsidR="0085541A" w:rsidRPr="00E06526" w:rsidRDefault="0085541A" w:rsidP="00EA5100">
            <w:pPr>
              <w:spacing w:after="120" w:line="240" w:lineRule="auto"/>
              <w:rPr>
                <w:rFonts w:ascii="Arial Narrow" w:eastAsia="Times New Roman" w:hAnsi="Arial Narrow"/>
                <w:b/>
                <w:sz w:val="18"/>
                <w:szCs w:val="18"/>
              </w:rPr>
            </w:pPr>
          </w:p>
        </w:tc>
        <w:tc>
          <w:tcPr>
            <w:tcW w:w="5244" w:type="dxa"/>
            <w:tcBorders>
              <w:bottom w:val="single" w:sz="18" w:space="0" w:color="auto"/>
            </w:tcBorders>
            <w:vAlign w:val="center"/>
          </w:tcPr>
          <w:p w:rsidR="0085541A" w:rsidRDefault="0085541A" w:rsidP="00EA5100">
            <w:pPr>
              <w:spacing w:after="120" w:line="240" w:lineRule="auto"/>
              <w:rPr>
                <w:rFonts w:ascii="Arial Narrow" w:eastAsia="Times New Roman" w:hAnsi="Arial Narrow"/>
                <w:b/>
                <w:sz w:val="18"/>
                <w:szCs w:val="18"/>
              </w:rPr>
            </w:pPr>
            <w:r>
              <w:rPr>
                <w:rFonts w:ascii="Arial Narrow" w:eastAsia="Times New Roman" w:hAnsi="Arial Narrow"/>
                <w:b/>
                <w:sz w:val="18"/>
                <w:szCs w:val="18"/>
              </w:rPr>
              <w:t>Budući nije poznat drugi davatelj usluge na području Istarske županije koji ima kapacitete potrebne da preuzme posao davatelja usluge Pula Herculanea d.o.o., kao i s obzirom na činjenicu da je Općina Ližnjan-Lisignano jedan od suosnivača, odnosno članova društva, navedeno rješenje smatra se najboljim u ovom trenutku.</w:t>
            </w:r>
          </w:p>
          <w:p w:rsidR="0085541A" w:rsidRDefault="0085541A" w:rsidP="0097368A">
            <w:pPr>
              <w:spacing w:after="120" w:line="240" w:lineRule="auto"/>
              <w:rPr>
                <w:rFonts w:ascii="Arial Narrow" w:eastAsia="Times New Roman" w:hAnsi="Arial Narrow"/>
                <w:b/>
                <w:sz w:val="18"/>
                <w:szCs w:val="18"/>
              </w:rPr>
            </w:pPr>
            <w:r>
              <w:rPr>
                <w:rFonts w:ascii="Arial Narrow" w:eastAsia="Times New Roman" w:hAnsi="Arial Narrow"/>
                <w:b/>
                <w:sz w:val="18"/>
                <w:szCs w:val="18"/>
              </w:rPr>
              <w:t>Prihvaćena je primjedba o prenesenom dijelu usluga na vlastiti pogon (uz napomenu da se u prijedlogu odluke mislilo na vlastiti pogon Općine Ližnjan-Lisignano, a ne na pogon davatelja usluge), budući će se navedeno pitanje definirati posebnim Pravilnikom o ustrojstvu i zadaćama vlastitog pogona, po njegovom osnivanju, iz kojeg je razloga brisan stavak 2. članka 4. odluke.</w:t>
            </w:r>
          </w:p>
          <w:p w:rsidR="0085541A" w:rsidRDefault="0085541A" w:rsidP="0097368A">
            <w:pPr>
              <w:spacing w:after="120" w:line="240" w:lineRule="auto"/>
              <w:rPr>
                <w:rFonts w:ascii="Arial Narrow" w:eastAsia="Times New Roman" w:hAnsi="Arial Narrow"/>
                <w:b/>
                <w:sz w:val="18"/>
                <w:szCs w:val="18"/>
              </w:rPr>
            </w:pPr>
            <w:r>
              <w:rPr>
                <w:rFonts w:ascii="Arial Narrow" w:eastAsia="Times New Roman" w:hAnsi="Arial Narrow"/>
                <w:b/>
                <w:sz w:val="18"/>
                <w:szCs w:val="18"/>
              </w:rPr>
              <w:t>Ne isključuje se papir iz otpada koji se odnosi na javnu uslugu, već je navedenim člancima (čl.14., 15. i 21.) jasno definirano da će se papir, metal, staklo, plastika, tekstil, glomazni otpad te problematični otpad prikupljati u posebnim (odvojenim) spremnicima na način definiran odlukom.</w:t>
            </w:r>
          </w:p>
          <w:p w:rsidR="0085541A" w:rsidRDefault="0085541A" w:rsidP="0097368A">
            <w:pPr>
              <w:spacing w:after="120" w:line="240" w:lineRule="auto"/>
              <w:rPr>
                <w:rFonts w:ascii="Arial Narrow" w:eastAsia="Times New Roman" w:hAnsi="Arial Narrow"/>
                <w:b/>
                <w:sz w:val="18"/>
                <w:szCs w:val="18"/>
              </w:rPr>
            </w:pPr>
            <w:r>
              <w:rPr>
                <w:rFonts w:ascii="Arial Narrow" w:eastAsia="Times New Roman" w:hAnsi="Arial Narrow"/>
                <w:b/>
                <w:sz w:val="18"/>
                <w:szCs w:val="18"/>
              </w:rPr>
              <w:t>Primjedba na članak 17. smatra se neutemeljenom.</w:t>
            </w: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Članak 18. izmijenjen je i isti sada glasi:</w:t>
            </w: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"(1)Minimalni broj planiranih primopredaja komunalnog otpada u obračunskom razdoblju iznosi:</w:t>
            </w:r>
          </w:p>
          <w:p w:rsidR="0085541A" w:rsidRDefault="0085541A" w:rsidP="008B03BD">
            <w:pPr>
              <w:numPr>
                <w:ilvl w:val="0"/>
                <w:numId w:val="1"/>
              </w:numPr>
              <w:spacing w:after="0" w:line="240" w:lineRule="auto"/>
              <w:rPr>
                <w:rFonts w:ascii="Arial Narrow" w:eastAsia="Times New Roman" w:hAnsi="Arial Narrow"/>
                <w:b/>
                <w:sz w:val="18"/>
                <w:szCs w:val="18"/>
              </w:rPr>
            </w:pPr>
            <w:r>
              <w:rPr>
                <w:rFonts w:ascii="Arial Narrow" w:eastAsia="Times New Roman" w:hAnsi="Arial Narrow"/>
                <w:b/>
                <w:sz w:val="18"/>
                <w:szCs w:val="18"/>
              </w:rPr>
              <w:t>za miješani komunalni otpad jednom tjedno,</w:t>
            </w:r>
          </w:p>
          <w:p w:rsidR="0085541A" w:rsidRDefault="0085541A" w:rsidP="008B03BD">
            <w:pPr>
              <w:numPr>
                <w:ilvl w:val="0"/>
                <w:numId w:val="1"/>
              </w:numPr>
              <w:spacing w:after="0" w:line="240" w:lineRule="auto"/>
              <w:rPr>
                <w:rFonts w:ascii="Arial Narrow" w:eastAsia="Times New Roman" w:hAnsi="Arial Narrow"/>
                <w:b/>
                <w:sz w:val="18"/>
                <w:szCs w:val="18"/>
              </w:rPr>
            </w:pPr>
            <w:r>
              <w:rPr>
                <w:rFonts w:ascii="Arial Narrow" w:eastAsia="Times New Roman" w:hAnsi="Arial Narrow"/>
                <w:b/>
                <w:sz w:val="18"/>
                <w:szCs w:val="18"/>
              </w:rPr>
              <w:t>za bio otpad iz biorazgradivog komunalnog otpada jednom tjedno,</w:t>
            </w:r>
          </w:p>
          <w:p w:rsidR="0085541A" w:rsidRDefault="0085541A" w:rsidP="008B03BD">
            <w:pPr>
              <w:numPr>
                <w:ilvl w:val="0"/>
                <w:numId w:val="1"/>
              </w:numPr>
              <w:spacing w:after="0" w:line="240" w:lineRule="auto"/>
              <w:rPr>
                <w:rFonts w:ascii="Arial Narrow" w:eastAsia="Times New Roman" w:hAnsi="Arial Narrow"/>
                <w:b/>
                <w:sz w:val="18"/>
                <w:szCs w:val="18"/>
              </w:rPr>
            </w:pPr>
            <w:r>
              <w:rPr>
                <w:rFonts w:ascii="Arial Narrow" w:eastAsia="Times New Roman" w:hAnsi="Arial Narrow"/>
                <w:b/>
                <w:sz w:val="18"/>
                <w:szCs w:val="18"/>
              </w:rPr>
              <w:t>za otpadni papir, plastiku i otpadno staklo jednom mjesečno"</w:t>
            </w: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Stavak 2. i 3. istog članka su brisani, čime je primjedba usvojena.</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Člankom 26. definirano je odvoženje glomaznog otpada iznad količine iz članka 25. (odnosno do 3m</w:t>
            </w:r>
            <w:r w:rsidRPr="008B03BD">
              <w:rPr>
                <w:rFonts w:ascii="Arial Narrow" w:eastAsia="Times New Roman" w:hAnsi="Arial Narrow"/>
                <w:b/>
                <w:sz w:val="18"/>
                <w:szCs w:val="18"/>
                <w:vertAlign w:val="superscript"/>
              </w:rPr>
              <w:t>3</w:t>
            </w:r>
            <w:r>
              <w:rPr>
                <w:rFonts w:ascii="Arial Narrow" w:eastAsia="Times New Roman" w:hAnsi="Arial Narrow"/>
                <w:b/>
                <w:sz w:val="18"/>
                <w:szCs w:val="18"/>
              </w:rPr>
              <w:t>).</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Cjenik i Plan odvoženja glomaznog otpada biti će dostupni na web stranici davatelja usluge, a postoji i mogućnost obaviještavanja o odvoženju glomaznog otpada na oglasnoj ploči te na web stranici Općine Ližnjan-Lisignano.</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Člankom 18. odluke propisan je minimalni broj planiranih primopredaja komunalnog otpada odnosno najmanja učestalost odvoza otpada - obvezna minimalna javna usluga.</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Članak 33. nije u neskladu s čl. 30. već detaljnije propisuje od čega se sastoji cijena javne usluge, uz napomenu da se ugovorna kazna naplaćuje u pojedinačnom slučaju, ukoliko za istu postoji osnova, kao i namjenska naknada, ukoliko ista bude uvedena.</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Primjedba na čl. 48. nije usvojena budući korisnik usluge nema načina kao ni ovlasti utvrditi drugačije stanje kao ni voditi evidenciju o preuzetom otpadu davatelja usluge. Zaštita prava korisnika usluge osigurana je odredbama članaka 56., 57. i 58. odluke.</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Primjedba na članak 50. nije usvojena, budući je utvrđivanje javnih površina za spremnike odvojenog otpada predviđeno zajednički (davatelj usluge i Općina Ližnjan-Lisignano), što je pobliže pojašnjeno u stavku 3. istog članka.</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U slučaju više sile, davatelj usluge i Općina Ližnjan-Lisignano će uz obavijest korisnicima iz stavka 3. članka 54. odrediti lokaciju odlaganja otpada do prestanka uvjeta koji onemogućuju pružanje javne usluge prikupljanja otpada.</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Primjedba na članak 55. se ne prihvaća iz organizacijskih razloga davatelja usluge.</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Primjedba na članak 62. se ne prihvaća budući početak rada županijskog centra "Kaštijun" nema nikakve veze s primjenom odluke, kao ni s dostavom cjenika te isto ne treba dovoditi u međusobnu vezu.</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Člankom 64. propisana je obveza davatelja usluge da dostavi svim korisnicima obrazac Izjave o načinu korištenja javne usluge u roku od 90 dana od dana stupanja na snagu odluke, dok je način uvida u cjenik pojašnjen ranije u tekstu.</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r>
              <w:rPr>
                <w:rFonts w:ascii="Arial Narrow" w:eastAsia="Times New Roman" w:hAnsi="Arial Narrow"/>
                <w:b/>
                <w:sz w:val="18"/>
                <w:szCs w:val="18"/>
              </w:rPr>
              <w:t>Posljednja primjedba se ne prihvaća budući je pisana reklamacija (odnosno prigovor korisnika) predviđen kao sredstvo zaštite korisnika i isti se upućuje davatelju usluge koji istu uslugu i pruža. Nema potrebe dostavljanja reklamacija Općini Ližnjan-Lisignano, kao ni nepostojećem Povjerenstvu, budući ista nije nadležna rješavati po reklamacijama vezanim za rad druge pravne osobe (u ovom slučaju davatelja usluge).</w:t>
            </w: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p>
          <w:p w:rsidR="0085541A" w:rsidRDefault="0085541A" w:rsidP="008B03BD">
            <w:pPr>
              <w:spacing w:after="0" w:line="240" w:lineRule="auto"/>
              <w:rPr>
                <w:rFonts w:ascii="Arial Narrow" w:eastAsia="Times New Roman" w:hAnsi="Arial Narrow"/>
                <w:b/>
                <w:sz w:val="18"/>
                <w:szCs w:val="18"/>
              </w:rPr>
            </w:pPr>
          </w:p>
          <w:p w:rsidR="0085541A" w:rsidRDefault="0085541A" w:rsidP="0097368A">
            <w:pPr>
              <w:spacing w:after="120" w:line="240" w:lineRule="auto"/>
              <w:rPr>
                <w:rFonts w:ascii="Arial Narrow" w:eastAsia="Times New Roman" w:hAnsi="Arial Narrow"/>
                <w:b/>
                <w:sz w:val="18"/>
                <w:szCs w:val="18"/>
              </w:rPr>
            </w:pPr>
          </w:p>
          <w:p w:rsidR="0085541A" w:rsidRDefault="0085541A" w:rsidP="00EA5100">
            <w:pPr>
              <w:spacing w:after="120" w:line="240" w:lineRule="auto"/>
              <w:rPr>
                <w:rFonts w:ascii="Arial Narrow" w:eastAsia="Times New Roman" w:hAnsi="Arial Narrow"/>
                <w:b/>
                <w:sz w:val="18"/>
                <w:szCs w:val="18"/>
              </w:rPr>
            </w:pPr>
          </w:p>
          <w:p w:rsidR="0085541A" w:rsidRPr="00DD3303" w:rsidRDefault="0085541A" w:rsidP="00EA5100">
            <w:pPr>
              <w:spacing w:after="120" w:line="240" w:lineRule="auto"/>
              <w:rPr>
                <w:rFonts w:ascii="Arial Narrow" w:eastAsia="Times New Roman" w:hAnsi="Arial Narrow"/>
                <w:b/>
                <w:sz w:val="18"/>
                <w:szCs w:val="18"/>
              </w:rPr>
            </w:pPr>
          </w:p>
        </w:tc>
      </w:tr>
    </w:tbl>
    <w:p w:rsidR="0085541A" w:rsidRDefault="0085541A" w:rsidP="00EA5100"/>
    <w:sectPr w:rsidR="0085541A" w:rsidSect="008518C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Founder Extended)">
    <w:panose1 w:val="00000000000000000000"/>
    <w:charset w:val="86"/>
    <w:family w:val="script"/>
    <w:notTrueType/>
    <w:pitch w:val="fixed"/>
    <w:sig w:usb0="00000001"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atang">
    <w:altName w:val="???A"/>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17347"/>
    <w:multiLevelType w:val="hybridMultilevel"/>
    <w:tmpl w:val="C980B9E8"/>
    <w:lvl w:ilvl="0" w:tplc="2D8A8304">
      <w:start w:val="5"/>
      <w:numFmt w:val="bullet"/>
      <w:lvlText w:val="-"/>
      <w:lvlJc w:val="left"/>
      <w:pPr>
        <w:ind w:left="720" w:hanging="360"/>
      </w:pPr>
      <w:rPr>
        <w:rFonts w:ascii="Times New Roman" w:eastAsia="Simsun (Founder Extended)"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986"/>
    <w:rsid w:val="00053D88"/>
    <w:rsid w:val="00111319"/>
    <w:rsid w:val="00113D8C"/>
    <w:rsid w:val="001907B5"/>
    <w:rsid w:val="001B42F8"/>
    <w:rsid w:val="002147F0"/>
    <w:rsid w:val="00240B06"/>
    <w:rsid w:val="00267942"/>
    <w:rsid w:val="002F1DBA"/>
    <w:rsid w:val="003004D8"/>
    <w:rsid w:val="003154CF"/>
    <w:rsid w:val="00396FD3"/>
    <w:rsid w:val="003D1E30"/>
    <w:rsid w:val="004325FC"/>
    <w:rsid w:val="0047086C"/>
    <w:rsid w:val="004815AF"/>
    <w:rsid w:val="00504138"/>
    <w:rsid w:val="00504DDF"/>
    <w:rsid w:val="00551580"/>
    <w:rsid w:val="005850BB"/>
    <w:rsid w:val="005B0986"/>
    <w:rsid w:val="005E3A88"/>
    <w:rsid w:val="00622911"/>
    <w:rsid w:val="006D5829"/>
    <w:rsid w:val="00710D22"/>
    <w:rsid w:val="00726231"/>
    <w:rsid w:val="00731F8D"/>
    <w:rsid w:val="007A1C7C"/>
    <w:rsid w:val="00805D93"/>
    <w:rsid w:val="00813E47"/>
    <w:rsid w:val="00843EBF"/>
    <w:rsid w:val="008518CC"/>
    <w:rsid w:val="0085541A"/>
    <w:rsid w:val="00861A01"/>
    <w:rsid w:val="008B03BD"/>
    <w:rsid w:val="00941D1C"/>
    <w:rsid w:val="0097368A"/>
    <w:rsid w:val="00990135"/>
    <w:rsid w:val="009B6CC2"/>
    <w:rsid w:val="009C3F8D"/>
    <w:rsid w:val="009E50F6"/>
    <w:rsid w:val="009F4D72"/>
    <w:rsid w:val="00A3647C"/>
    <w:rsid w:val="00A44D5B"/>
    <w:rsid w:val="00A5437C"/>
    <w:rsid w:val="00A723B6"/>
    <w:rsid w:val="00AD554A"/>
    <w:rsid w:val="00AF2CDB"/>
    <w:rsid w:val="00B14C3E"/>
    <w:rsid w:val="00B55AE3"/>
    <w:rsid w:val="00BB40E5"/>
    <w:rsid w:val="00BC2947"/>
    <w:rsid w:val="00C14C9A"/>
    <w:rsid w:val="00C47331"/>
    <w:rsid w:val="00C66D8A"/>
    <w:rsid w:val="00CE5B1D"/>
    <w:rsid w:val="00D427D8"/>
    <w:rsid w:val="00DA4B29"/>
    <w:rsid w:val="00DD3303"/>
    <w:rsid w:val="00DE3D3E"/>
    <w:rsid w:val="00E06526"/>
    <w:rsid w:val="00E1317B"/>
    <w:rsid w:val="00E21A98"/>
    <w:rsid w:val="00E64782"/>
    <w:rsid w:val="00E738EC"/>
    <w:rsid w:val="00E806BE"/>
    <w:rsid w:val="00E974C5"/>
    <w:rsid w:val="00EA5100"/>
    <w:rsid w:val="00EB7D77"/>
    <w:rsid w:val="00EC347B"/>
    <w:rsid w:val="00EC5881"/>
    <w:rsid w:val="00F2759C"/>
    <w:rsid w:val="00F56B3A"/>
    <w:rsid w:val="00F603C9"/>
    <w:rsid w:val="00F742DA"/>
    <w:rsid w:val="00FE11D8"/>
    <w:rsid w:val="00FF0B5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86"/>
    <w:pPr>
      <w:spacing w:after="200" w:line="276"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5B0986"/>
    <w:rPr>
      <w:b/>
      <w:bCs/>
      <w:sz w:val="20"/>
      <w:szCs w:val="20"/>
      <w:lang w:eastAsia="en-US"/>
    </w:rPr>
  </w:style>
  <w:style w:type="paragraph" w:styleId="BodyText">
    <w:name w:val="Body Text"/>
    <w:basedOn w:val="Normal"/>
    <w:link w:val="BodyTextChar"/>
    <w:uiPriority w:val="99"/>
    <w:rsid w:val="00E21A98"/>
    <w:pPr>
      <w:spacing w:after="120" w:line="240" w:lineRule="auto"/>
    </w:pPr>
    <w:rPr>
      <w:rFonts w:ascii="Times New Roman" w:hAnsi="Times New Roman"/>
      <w:sz w:val="24"/>
      <w:szCs w:val="20"/>
      <w:lang w:val="en-US" w:eastAsia="hr-HR"/>
    </w:rPr>
  </w:style>
  <w:style w:type="character" w:customStyle="1" w:styleId="BodyTextChar">
    <w:name w:val="Body Text Char"/>
    <w:basedOn w:val="DefaultParagraphFont"/>
    <w:link w:val="BodyText"/>
    <w:uiPriority w:val="99"/>
    <w:locked/>
    <w:rsid w:val="00E21A98"/>
    <w:rPr>
      <w:rFonts w:ascii="Times New Roman" w:hAnsi="Times New Roman" w:cs="Times New Roman"/>
      <w:sz w:val="20"/>
      <w:szCs w:val="20"/>
      <w:lang w:val="en-US" w:eastAsia="hr-HR"/>
    </w:rPr>
  </w:style>
  <w:style w:type="paragraph" w:customStyle="1" w:styleId="TableParagraph">
    <w:name w:val="Table Paragraph"/>
    <w:basedOn w:val="Normal"/>
    <w:uiPriority w:val="99"/>
    <w:rsid w:val="003004D8"/>
    <w:pPr>
      <w:widowControl w:val="0"/>
      <w:autoSpaceDE w:val="0"/>
      <w:autoSpaceDN w:val="0"/>
      <w:spacing w:after="0" w:line="240" w:lineRule="auto"/>
      <w:ind w:left="108"/>
    </w:pPr>
    <w:rPr>
      <w:rFonts w:cs="Calibri"/>
      <w:lang w:eastAsia="hr-HR"/>
    </w:rPr>
  </w:style>
  <w:style w:type="paragraph" w:styleId="NormalWeb">
    <w:name w:val="Normal (Web)"/>
    <w:basedOn w:val="Normal"/>
    <w:uiPriority w:val="99"/>
    <w:rsid w:val="00396FD3"/>
    <w:pPr>
      <w:spacing w:before="100" w:beforeAutospacing="1" w:after="100" w:afterAutospacing="1" w:line="240" w:lineRule="auto"/>
    </w:pPr>
    <w:rPr>
      <w:rFonts w:ascii="Times New Roman" w:hAnsi="Times New Roman"/>
      <w:sz w:val="24"/>
      <w:szCs w:val="24"/>
      <w:lang w:eastAsia="hr-HR"/>
    </w:rPr>
  </w:style>
  <w:style w:type="paragraph" w:customStyle="1" w:styleId="box454532">
    <w:name w:val="box_454532"/>
    <w:basedOn w:val="Normal"/>
    <w:uiPriority w:val="99"/>
    <w:rsid w:val="00111319"/>
    <w:pPr>
      <w:spacing w:before="100" w:beforeAutospacing="1" w:after="100" w:afterAutospacing="1" w:line="240" w:lineRule="auto"/>
    </w:pPr>
    <w:rPr>
      <w:rFonts w:ascii="Times New Roman" w:hAnsi="Times New Roman"/>
      <w:sz w:val="24"/>
      <w:szCs w:val="24"/>
      <w:lang w:eastAsia="hr-HR"/>
    </w:rPr>
  </w:style>
  <w:style w:type="table" w:styleId="MediumList2-Accent1">
    <w:name w:val="Medium List 2 Accent 1"/>
    <w:basedOn w:val="TableNormal"/>
    <w:uiPriority w:val="99"/>
    <w:rsid w:val="0047086C"/>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Hyperlink">
    <w:name w:val="Hyperlink"/>
    <w:basedOn w:val="DefaultParagraphFont"/>
    <w:uiPriority w:val="99"/>
    <w:rsid w:val="00A5437C"/>
    <w:rPr>
      <w:rFonts w:cs="Times New Roman"/>
      <w:color w:val="0000FF"/>
      <w:u w:val="single"/>
    </w:rPr>
  </w:style>
  <w:style w:type="paragraph" w:customStyle="1" w:styleId="gmail-msobodytext">
    <w:name w:val="gmail-msobodytext"/>
    <w:basedOn w:val="Normal"/>
    <w:uiPriority w:val="99"/>
    <w:rsid w:val="00BB40E5"/>
    <w:pPr>
      <w:spacing w:before="100" w:beforeAutospacing="1" w:after="100" w:afterAutospacing="1" w:line="240" w:lineRule="auto"/>
    </w:pPr>
    <w:rPr>
      <w:rFonts w:ascii="Times New Roman" w:hAnsi="Times New Roman"/>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znjan.hr/index.php/novosti/224-poziv-za-savjetovanje-sa-zainteresiranom-javnos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5</Pages>
  <Words>1829</Words>
  <Characters>10428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Izvješća o savjetovanju s javnošću</dc:title>
  <dc:subject/>
  <dc:creator>Korisnik</dc:creator>
  <cp:keywords/>
  <dc:description/>
  <cp:lastModifiedBy>Stevan Jelicic</cp:lastModifiedBy>
  <cp:revision>2</cp:revision>
  <cp:lastPrinted>2018-01-31T11:53:00Z</cp:lastPrinted>
  <dcterms:created xsi:type="dcterms:W3CDTF">2018-01-31T12:18:00Z</dcterms:created>
  <dcterms:modified xsi:type="dcterms:W3CDTF">2018-01-31T12:18:00Z</dcterms:modified>
</cp:coreProperties>
</file>